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68B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7538FF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color w:val="auto"/>
          <w:sz w:val="24"/>
          <w:szCs w:val="24"/>
          <w:highlight w:val="none"/>
          <w:lang w:eastAsia="zh-CN"/>
        </w:rPr>
        <w:t>宁波市镇海蛟川城镇建设发展有限公司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6</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30</w:t>
      </w:r>
      <w:r>
        <w:rPr>
          <w:rFonts w:hint="eastAsia" w:ascii="宋体" w:hAnsi="宋体" w:eastAsia="宋体" w:cs="宋体"/>
          <w:b/>
          <w:bCs w:val="0"/>
          <w:color w:val="auto"/>
          <w:sz w:val="24"/>
          <w:szCs w:val="24"/>
          <w:lang w:eastAsia="zh-CN"/>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0A95EF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B362C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9DF2AB2">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5295"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fixed"/>
        <w:tblCellMar>
          <w:top w:w="0" w:type="dxa"/>
          <w:left w:w="108" w:type="dxa"/>
          <w:bottom w:w="0" w:type="dxa"/>
          <w:right w:w="108" w:type="dxa"/>
        </w:tblCellMar>
      </w:tblPr>
      <w:tblGrid>
        <w:gridCol w:w="618"/>
        <w:gridCol w:w="3755"/>
        <w:gridCol w:w="805"/>
        <w:gridCol w:w="1357"/>
        <w:gridCol w:w="1098"/>
        <w:gridCol w:w="924"/>
        <w:gridCol w:w="1992"/>
      </w:tblGrid>
      <w:tr w14:paraId="6EFCFD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225" w:hRule="atLeast"/>
        </w:trPr>
        <w:tc>
          <w:tcPr>
            <w:tcW w:w="292" w:type="pct"/>
            <w:tcBorders>
              <w:tl2br w:val="nil"/>
              <w:tr2bl w:val="nil"/>
            </w:tcBorders>
            <w:shd w:val="clear" w:color="auto" w:fill="auto"/>
            <w:noWrap/>
            <w:vAlign w:val="center"/>
          </w:tcPr>
          <w:p w14:paraId="7B1F3D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779" w:type="pct"/>
            <w:tcBorders>
              <w:tl2br w:val="nil"/>
              <w:tr2bl w:val="nil"/>
            </w:tcBorders>
            <w:shd w:val="clear" w:color="auto" w:fill="auto"/>
            <w:vAlign w:val="center"/>
          </w:tcPr>
          <w:p w14:paraId="5AECCD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房屋座落</w:t>
            </w:r>
          </w:p>
        </w:tc>
        <w:tc>
          <w:tcPr>
            <w:tcW w:w="381" w:type="pct"/>
            <w:tcBorders>
              <w:tl2br w:val="nil"/>
              <w:tr2bl w:val="nil"/>
            </w:tcBorders>
            <w:shd w:val="clear" w:color="auto" w:fill="auto"/>
            <w:noWrap/>
            <w:vAlign w:val="center"/>
          </w:tcPr>
          <w:p w14:paraId="4D0DFE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用途</w:t>
            </w:r>
          </w:p>
        </w:tc>
        <w:tc>
          <w:tcPr>
            <w:tcW w:w="643" w:type="pct"/>
            <w:tcBorders>
              <w:tl2br w:val="nil"/>
              <w:tr2bl w:val="nil"/>
            </w:tcBorders>
            <w:shd w:val="clear" w:color="auto" w:fill="auto"/>
            <w:noWrap/>
            <w:vAlign w:val="center"/>
          </w:tcPr>
          <w:p w14:paraId="072A1F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出租面积（㎡）</w:t>
            </w:r>
          </w:p>
        </w:tc>
        <w:tc>
          <w:tcPr>
            <w:tcW w:w="520" w:type="pct"/>
            <w:tcBorders>
              <w:tl2br w:val="nil"/>
              <w:tr2bl w:val="nil"/>
            </w:tcBorders>
            <w:shd w:val="clear" w:color="auto" w:fill="auto"/>
            <w:vAlign w:val="center"/>
          </w:tcPr>
          <w:p w14:paraId="0613B4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438" w:type="pct"/>
            <w:tcBorders>
              <w:tl2br w:val="nil"/>
              <w:tr2bl w:val="nil"/>
            </w:tcBorders>
            <w:shd w:val="clear" w:color="auto" w:fill="auto"/>
            <w:vAlign w:val="center"/>
          </w:tcPr>
          <w:p w14:paraId="1941F1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944" w:type="pct"/>
            <w:tcBorders>
              <w:tl2br w:val="nil"/>
              <w:tr2bl w:val="nil"/>
            </w:tcBorders>
            <w:shd w:val="clear" w:color="auto" w:fill="auto"/>
            <w:vAlign w:val="center"/>
          </w:tcPr>
          <w:p w14:paraId="5438F6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10439F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00" w:hRule="atLeast"/>
        </w:trPr>
        <w:tc>
          <w:tcPr>
            <w:tcW w:w="292" w:type="pct"/>
            <w:tcBorders>
              <w:tl2br w:val="nil"/>
              <w:tr2bl w:val="nil"/>
            </w:tcBorders>
            <w:shd w:val="clear" w:color="auto" w:fill="auto"/>
            <w:noWrap/>
            <w:vAlign w:val="center"/>
          </w:tcPr>
          <w:p w14:paraId="593D35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1</w:t>
            </w:r>
          </w:p>
        </w:tc>
        <w:tc>
          <w:tcPr>
            <w:tcW w:w="1779" w:type="pct"/>
            <w:tcBorders>
              <w:tl2br w:val="nil"/>
              <w:tr2bl w:val="nil"/>
            </w:tcBorders>
            <w:shd w:val="clear" w:color="auto" w:fill="auto"/>
            <w:noWrap/>
            <w:vAlign w:val="center"/>
          </w:tcPr>
          <w:p w14:paraId="000FFE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镇海区蛟川街道镇海大道998号2#102室</w:t>
            </w:r>
          </w:p>
        </w:tc>
        <w:tc>
          <w:tcPr>
            <w:tcW w:w="381" w:type="pct"/>
            <w:tcBorders>
              <w:tl2br w:val="nil"/>
              <w:tr2bl w:val="nil"/>
            </w:tcBorders>
            <w:shd w:val="clear" w:color="auto" w:fill="auto"/>
            <w:noWrap/>
            <w:vAlign w:val="center"/>
          </w:tcPr>
          <w:p w14:paraId="16FFF5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5D47EA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68.68</w:t>
            </w:r>
          </w:p>
        </w:tc>
        <w:tc>
          <w:tcPr>
            <w:tcW w:w="520" w:type="pct"/>
            <w:tcBorders>
              <w:tl2br w:val="nil"/>
              <w:tr2bl w:val="nil"/>
            </w:tcBorders>
            <w:shd w:val="clear" w:color="auto" w:fill="auto"/>
            <w:noWrap/>
            <w:vAlign w:val="center"/>
          </w:tcPr>
          <w:p w14:paraId="48683D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37100</w:t>
            </w:r>
          </w:p>
        </w:tc>
        <w:tc>
          <w:tcPr>
            <w:tcW w:w="438" w:type="pct"/>
            <w:tcBorders>
              <w:tl2br w:val="nil"/>
              <w:tr2bl w:val="nil"/>
            </w:tcBorders>
            <w:shd w:val="clear" w:color="auto" w:fill="auto"/>
            <w:noWrap/>
            <w:vAlign w:val="center"/>
          </w:tcPr>
          <w:p w14:paraId="264E41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4000</w:t>
            </w:r>
          </w:p>
        </w:tc>
        <w:tc>
          <w:tcPr>
            <w:tcW w:w="944" w:type="pct"/>
            <w:tcBorders>
              <w:tl2br w:val="nil"/>
              <w:tr2bl w:val="nil"/>
            </w:tcBorders>
            <w:shd w:val="clear" w:color="auto" w:fill="auto"/>
            <w:noWrap/>
            <w:vAlign w:val="center"/>
          </w:tcPr>
          <w:p w14:paraId="2717C8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出租2026.6.30到期</w:t>
            </w:r>
          </w:p>
        </w:tc>
      </w:tr>
      <w:tr w14:paraId="54C6BE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15" w:hRule="atLeast"/>
        </w:trPr>
        <w:tc>
          <w:tcPr>
            <w:tcW w:w="292" w:type="pct"/>
            <w:vMerge w:val="restart"/>
            <w:tcBorders>
              <w:tl2br w:val="nil"/>
              <w:tr2bl w:val="nil"/>
            </w:tcBorders>
            <w:shd w:val="clear" w:color="auto" w:fill="auto"/>
            <w:noWrap/>
            <w:vAlign w:val="center"/>
          </w:tcPr>
          <w:p w14:paraId="2574E9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2</w:t>
            </w:r>
          </w:p>
        </w:tc>
        <w:tc>
          <w:tcPr>
            <w:tcW w:w="1779" w:type="pct"/>
            <w:tcBorders>
              <w:tl2br w:val="nil"/>
              <w:tr2bl w:val="nil"/>
            </w:tcBorders>
            <w:shd w:val="clear" w:color="auto" w:fill="auto"/>
            <w:noWrap/>
            <w:vAlign w:val="center"/>
          </w:tcPr>
          <w:p w14:paraId="202AFD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镇海区蛟川街道镇海大道998号3#101室</w:t>
            </w:r>
          </w:p>
        </w:tc>
        <w:tc>
          <w:tcPr>
            <w:tcW w:w="381" w:type="pct"/>
            <w:vMerge w:val="restart"/>
            <w:tcBorders>
              <w:tl2br w:val="nil"/>
              <w:tr2bl w:val="nil"/>
            </w:tcBorders>
            <w:shd w:val="clear" w:color="auto" w:fill="auto"/>
            <w:noWrap/>
            <w:vAlign w:val="center"/>
          </w:tcPr>
          <w:p w14:paraId="244D29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631FF8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36.37</w:t>
            </w:r>
          </w:p>
        </w:tc>
        <w:tc>
          <w:tcPr>
            <w:tcW w:w="520" w:type="pct"/>
            <w:vMerge w:val="restart"/>
            <w:tcBorders>
              <w:tl2br w:val="nil"/>
              <w:tr2bl w:val="nil"/>
            </w:tcBorders>
            <w:shd w:val="clear" w:color="auto" w:fill="auto"/>
            <w:noWrap/>
            <w:vAlign w:val="center"/>
          </w:tcPr>
          <w:p w14:paraId="5B9BCA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82100</w:t>
            </w:r>
          </w:p>
        </w:tc>
        <w:tc>
          <w:tcPr>
            <w:tcW w:w="438" w:type="pct"/>
            <w:vMerge w:val="restart"/>
            <w:tcBorders>
              <w:tl2br w:val="nil"/>
              <w:tr2bl w:val="nil"/>
            </w:tcBorders>
            <w:shd w:val="clear" w:color="auto" w:fill="auto"/>
            <w:noWrap/>
            <w:vAlign w:val="center"/>
          </w:tcPr>
          <w:p w14:paraId="63C700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9000</w:t>
            </w:r>
          </w:p>
        </w:tc>
        <w:tc>
          <w:tcPr>
            <w:tcW w:w="944" w:type="pct"/>
            <w:vMerge w:val="restart"/>
            <w:tcBorders>
              <w:tl2br w:val="nil"/>
              <w:tr2bl w:val="nil"/>
            </w:tcBorders>
            <w:shd w:val="clear" w:color="auto" w:fill="auto"/>
            <w:noWrap/>
            <w:vAlign w:val="center"/>
          </w:tcPr>
          <w:p w14:paraId="77994D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出租2026.6.30到期</w:t>
            </w:r>
          </w:p>
        </w:tc>
      </w:tr>
      <w:tr w14:paraId="50DCE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00" w:hRule="atLeast"/>
        </w:trPr>
        <w:tc>
          <w:tcPr>
            <w:tcW w:w="292" w:type="pct"/>
            <w:vMerge w:val="continue"/>
            <w:tcBorders>
              <w:tl2br w:val="nil"/>
              <w:tr2bl w:val="nil"/>
            </w:tcBorders>
            <w:shd w:val="clear" w:color="auto" w:fill="auto"/>
            <w:noWrap/>
            <w:vAlign w:val="center"/>
          </w:tcPr>
          <w:p w14:paraId="1678C49E">
            <w:pPr>
              <w:jc w:val="center"/>
              <w:rPr>
                <w:rFonts w:hint="eastAsia" w:ascii="宋体" w:hAnsi="宋体" w:eastAsia="宋体" w:cs="宋体"/>
                <w:i w:val="0"/>
                <w:iCs w:val="0"/>
                <w:color w:val="000000"/>
                <w:sz w:val="21"/>
                <w:szCs w:val="21"/>
                <w:u w:val="none"/>
              </w:rPr>
            </w:pPr>
          </w:p>
        </w:tc>
        <w:tc>
          <w:tcPr>
            <w:tcW w:w="1779" w:type="pct"/>
            <w:tcBorders>
              <w:tl2br w:val="nil"/>
              <w:tr2bl w:val="nil"/>
            </w:tcBorders>
            <w:shd w:val="clear" w:color="auto" w:fill="auto"/>
            <w:noWrap/>
            <w:vAlign w:val="center"/>
          </w:tcPr>
          <w:p w14:paraId="22D471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镇海区蛟川街道镇海大道998号3#102室</w:t>
            </w:r>
          </w:p>
        </w:tc>
        <w:tc>
          <w:tcPr>
            <w:tcW w:w="381" w:type="pct"/>
            <w:vMerge w:val="continue"/>
            <w:tcBorders>
              <w:tl2br w:val="nil"/>
              <w:tr2bl w:val="nil"/>
            </w:tcBorders>
            <w:shd w:val="clear" w:color="auto" w:fill="auto"/>
            <w:noWrap/>
            <w:vAlign w:val="center"/>
          </w:tcPr>
          <w:p w14:paraId="7AD33D5C">
            <w:pPr>
              <w:jc w:val="center"/>
              <w:rPr>
                <w:rFonts w:hint="eastAsia" w:ascii="宋体" w:hAnsi="宋体" w:eastAsia="宋体" w:cs="宋体"/>
                <w:i w:val="0"/>
                <w:iCs w:val="0"/>
                <w:color w:val="000000"/>
                <w:sz w:val="21"/>
                <w:szCs w:val="21"/>
                <w:u w:val="none"/>
              </w:rPr>
            </w:pPr>
          </w:p>
        </w:tc>
        <w:tc>
          <w:tcPr>
            <w:tcW w:w="643" w:type="pct"/>
            <w:tcBorders>
              <w:tl2br w:val="nil"/>
              <w:tr2bl w:val="nil"/>
            </w:tcBorders>
            <w:shd w:val="clear" w:color="auto" w:fill="auto"/>
            <w:noWrap/>
            <w:vAlign w:val="center"/>
          </w:tcPr>
          <w:p w14:paraId="060021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118.39</w:t>
            </w:r>
          </w:p>
        </w:tc>
        <w:tc>
          <w:tcPr>
            <w:tcW w:w="520" w:type="pct"/>
            <w:vMerge w:val="continue"/>
            <w:tcBorders>
              <w:tl2br w:val="nil"/>
              <w:tr2bl w:val="nil"/>
            </w:tcBorders>
            <w:shd w:val="clear" w:color="auto" w:fill="auto"/>
            <w:noWrap/>
            <w:vAlign w:val="center"/>
          </w:tcPr>
          <w:p w14:paraId="2975414F">
            <w:pPr>
              <w:jc w:val="center"/>
              <w:rPr>
                <w:rFonts w:hint="eastAsia" w:ascii="宋体" w:hAnsi="宋体" w:eastAsia="宋体" w:cs="宋体"/>
                <w:i w:val="0"/>
                <w:iCs w:val="0"/>
                <w:color w:val="000000"/>
                <w:sz w:val="21"/>
                <w:szCs w:val="21"/>
                <w:u w:val="none"/>
              </w:rPr>
            </w:pPr>
          </w:p>
        </w:tc>
        <w:tc>
          <w:tcPr>
            <w:tcW w:w="438" w:type="pct"/>
            <w:vMerge w:val="continue"/>
            <w:tcBorders>
              <w:tl2br w:val="nil"/>
              <w:tr2bl w:val="nil"/>
            </w:tcBorders>
            <w:shd w:val="clear" w:color="auto" w:fill="auto"/>
            <w:noWrap/>
            <w:vAlign w:val="center"/>
          </w:tcPr>
          <w:p w14:paraId="54C1C872">
            <w:pPr>
              <w:jc w:val="center"/>
              <w:rPr>
                <w:rFonts w:hint="eastAsia" w:ascii="宋体" w:hAnsi="宋体" w:eastAsia="宋体" w:cs="宋体"/>
                <w:i w:val="0"/>
                <w:iCs w:val="0"/>
                <w:color w:val="000000"/>
                <w:sz w:val="21"/>
                <w:szCs w:val="21"/>
                <w:u w:val="none"/>
              </w:rPr>
            </w:pPr>
          </w:p>
        </w:tc>
        <w:tc>
          <w:tcPr>
            <w:tcW w:w="944" w:type="pct"/>
            <w:vMerge w:val="continue"/>
            <w:tcBorders>
              <w:tl2br w:val="nil"/>
              <w:tr2bl w:val="nil"/>
            </w:tcBorders>
            <w:shd w:val="clear" w:color="auto" w:fill="auto"/>
            <w:noWrap/>
            <w:vAlign w:val="center"/>
          </w:tcPr>
          <w:p w14:paraId="1E0AB6A4">
            <w:pPr>
              <w:jc w:val="center"/>
              <w:rPr>
                <w:rFonts w:hint="eastAsia" w:ascii="宋体" w:hAnsi="宋体" w:eastAsia="宋体" w:cs="宋体"/>
                <w:i w:val="0"/>
                <w:iCs w:val="0"/>
                <w:color w:val="000000"/>
                <w:sz w:val="21"/>
                <w:szCs w:val="21"/>
                <w:u w:val="none"/>
              </w:rPr>
            </w:pPr>
          </w:p>
        </w:tc>
      </w:tr>
      <w:tr w14:paraId="55B54F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00" w:hRule="atLeast"/>
        </w:trPr>
        <w:tc>
          <w:tcPr>
            <w:tcW w:w="292" w:type="pct"/>
            <w:tcBorders>
              <w:tl2br w:val="nil"/>
              <w:tr2bl w:val="nil"/>
            </w:tcBorders>
            <w:shd w:val="clear" w:color="auto" w:fill="auto"/>
            <w:noWrap/>
            <w:vAlign w:val="center"/>
          </w:tcPr>
          <w:p w14:paraId="3E3767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3</w:t>
            </w:r>
          </w:p>
        </w:tc>
        <w:tc>
          <w:tcPr>
            <w:tcW w:w="1779" w:type="pct"/>
            <w:tcBorders>
              <w:tl2br w:val="nil"/>
              <w:tr2bl w:val="nil"/>
            </w:tcBorders>
            <w:shd w:val="clear" w:color="auto" w:fill="auto"/>
            <w:noWrap/>
            <w:vAlign w:val="center"/>
          </w:tcPr>
          <w:p w14:paraId="4708CB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镇海区蛟川街道镇海大道998号3#106室</w:t>
            </w:r>
          </w:p>
        </w:tc>
        <w:tc>
          <w:tcPr>
            <w:tcW w:w="381" w:type="pct"/>
            <w:tcBorders>
              <w:tl2br w:val="nil"/>
              <w:tr2bl w:val="nil"/>
            </w:tcBorders>
            <w:shd w:val="clear" w:color="auto" w:fill="auto"/>
            <w:noWrap/>
            <w:vAlign w:val="center"/>
          </w:tcPr>
          <w:p w14:paraId="5FF673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2704A2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62.24</w:t>
            </w:r>
          </w:p>
        </w:tc>
        <w:tc>
          <w:tcPr>
            <w:tcW w:w="520" w:type="pct"/>
            <w:tcBorders>
              <w:tl2br w:val="nil"/>
              <w:tr2bl w:val="nil"/>
            </w:tcBorders>
            <w:shd w:val="clear" w:color="auto" w:fill="auto"/>
            <w:noWrap/>
            <w:vAlign w:val="center"/>
          </w:tcPr>
          <w:p w14:paraId="5598CA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31400</w:t>
            </w:r>
          </w:p>
        </w:tc>
        <w:tc>
          <w:tcPr>
            <w:tcW w:w="438" w:type="pct"/>
            <w:tcBorders>
              <w:tl2br w:val="nil"/>
              <w:tr2bl w:val="nil"/>
            </w:tcBorders>
            <w:shd w:val="clear" w:color="auto" w:fill="auto"/>
            <w:noWrap/>
            <w:vAlign w:val="center"/>
          </w:tcPr>
          <w:p w14:paraId="209C72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4000</w:t>
            </w:r>
          </w:p>
        </w:tc>
        <w:tc>
          <w:tcPr>
            <w:tcW w:w="944" w:type="pct"/>
            <w:tcBorders>
              <w:tl2br w:val="nil"/>
              <w:tr2bl w:val="nil"/>
            </w:tcBorders>
            <w:shd w:val="clear" w:color="auto" w:fill="auto"/>
            <w:noWrap/>
            <w:vAlign w:val="center"/>
          </w:tcPr>
          <w:p w14:paraId="44F093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出租2026.6.30到期</w:t>
            </w:r>
          </w:p>
        </w:tc>
      </w:tr>
    </w:tbl>
    <w:p w14:paraId="47C06A02">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ascii="宋体" w:hAnsi="宋体"/>
          <w:bCs/>
          <w:color w:val="FF0000"/>
          <w:sz w:val="24"/>
        </w:rPr>
      </w:pPr>
      <w:bookmarkStart w:id="0" w:name="_GoBack"/>
      <w:bookmarkEnd w:id="0"/>
      <w:r>
        <w:rPr>
          <w:rFonts w:hint="eastAsia" w:ascii="宋体" w:hAnsi="宋体" w:cs="宋体"/>
          <w:b/>
          <w:color w:val="FF0000"/>
          <w:sz w:val="24"/>
          <w:szCs w:val="24"/>
          <w:highlight w:val="none"/>
          <w:lang w:eastAsia="zh-CN"/>
        </w:rPr>
        <w:t>上述标的</w:t>
      </w:r>
      <w:r>
        <w:rPr>
          <w:rFonts w:hint="eastAsia" w:ascii="宋体" w:hAnsi="宋体" w:eastAsia="宋体" w:cs="宋体"/>
          <w:b/>
          <w:color w:val="FF0000"/>
          <w:sz w:val="24"/>
          <w:szCs w:val="24"/>
          <w:highlight w:val="none"/>
          <w:lang w:eastAsia="zh-CN"/>
        </w:rPr>
        <w:t>均以现状进行竞拍。竞</w:t>
      </w:r>
      <w:r>
        <w:rPr>
          <w:rFonts w:hint="eastAsia" w:ascii="宋体" w:hAnsi="宋体" w:cs="宋体"/>
          <w:b/>
          <w:color w:val="FF0000"/>
          <w:sz w:val="24"/>
          <w:szCs w:val="24"/>
          <w:highlight w:val="none"/>
          <w:lang w:eastAsia="zh-CN"/>
        </w:rPr>
        <w:t>买</w:t>
      </w:r>
      <w:r>
        <w:rPr>
          <w:rFonts w:hint="eastAsia" w:ascii="宋体" w:hAnsi="宋体" w:eastAsia="宋体" w:cs="宋体"/>
          <w:b/>
          <w:color w:val="FF0000"/>
          <w:sz w:val="24"/>
          <w:szCs w:val="24"/>
          <w:highlight w:val="none"/>
          <w:lang w:eastAsia="zh-CN"/>
        </w:rPr>
        <w:t>人（承租人）已知悉并接受房屋现状</w:t>
      </w:r>
      <w:r>
        <w:rPr>
          <w:rFonts w:hint="eastAsia" w:ascii="宋体" w:hAnsi="宋体" w:cs="宋体"/>
          <w:b/>
          <w:color w:val="FF0000"/>
          <w:sz w:val="24"/>
          <w:szCs w:val="24"/>
          <w:highlight w:val="none"/>
          <w:lang w:eastAsia="zh-CN"/>
        </w:rPr>
        <w:t>，</w:t>
      </w:r>
      <w:r>
        <w:rPr>
          <w:rFonts w:hint="eastAsia" w:ascii="宋体" w:hAnsi="宋体" w:eastAsia="宋体" w:cs="宋体"/>
          <w:b/>
          <w:color w:val="FF0000"/>
          <w:sz w:val="24"/>
          <w:szCs w:val="24"/>
          <w:highlight w:val="none"/>
          <w:lang w:eastAsia="zh-CN"/>
        </w:rPr>
        <w:t>租赁期为3年。无论因租赁期满未获续租</w:t>
      </w:r>
      <w:r>
        <w:rPr>
          <w:rFonts w:hint="eastAsia" w:ascii="宋体" w:hAnsi="宋体" w:cs="宋体"/>
          <w:b/>
          <w:color w:val="FF0000"/>
          <w:sz w:val="24"/>
          <w:szCs w:val="24"/>
          <w:highlight w:val="none"/>
          <w:lang w:eastAsia="zh-CN"/>
        </w:rPr>
        <w:t>权</w:t>
      </w:r>
      <w:r>
        <w:rPr>
          <w:rFonts w:hint="eastAsia" w:ascii="宋体" w:hAnsi="宋体" w:eastAsia="宋体" w:cs="宋体"/>
          <w:b/>
          <w:color w:val="FF0000"/>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FF0000"/>
          <w:sz w:val="24"/>
          <w:szCs w:val="24"/>
          <w:highlight w:val="none"/>
          <w:lang w:eastAsia="zh-CN"/>
        </w:rPr>
        <w:t>。</w:t>
      </w:r>
    </w:p>
    <w:p w14:paraId="137CCE29">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360" w:lineRule="auto"/>
        <w:ind w:right="0" w:firstLine="482" w:firstLineChars="200"/>
        <w:textAlignment w:val="auto"/>
        <w:rPr>
          <w:rFonts w:hint="eastAsia" w:ascii="宋体" w:hAnsi="宋体" w:eastAsia="宋体" w:cs="宋体"/>
          <w:b/>
          <w:color w:val="FF0000"/>
          <w:sz w:val="24"/>
          <w:szCs w:val="24"/>
        </w:rPr>
      </w:pPr>
      <w:r>
        <w:rPr>
          <w:rFonts w:hint="eastAsia" w:ascii="宋体" w:hAnsi="宋体" w:eastAsia="宋体" w:cs="宋体"/>
          <w:b/>
          <w:color w:val="FF0000"/>
          <w:sz w:val="24"/>
          <w:szCs w:val="24"/>
        </w:rPr>
        <w:t>本次拍租标的物</w:t>
      </w:r>
      <w:r>
        <w:rPr>
          <w:rFonts w:hint="eastAsia" w:ascii="宋体" w:hAnsi="宋体" w:cs="宋体"/>
          <w:b/>
          <w:color w:val="FF0000"/>
          <w:sz w:val="24"/>
          <w:szCs w:val="24"/>
          <w:lang w:eastAsia="zh-CN"/>
        </w:rPr>
        <w:t>的土地性质为集体用地，用途为公寓公共配套用房</w:t>
      </w:r>
      <w:r>
        <w:rPr>
          <w:rFonts w:hint="eastAsia" w:ascii="宋体" w:hAnsi="宋体" w:eastAsia="宋体" w:cs="宋体"/>
          <w:b/>
          <w:color w:val="FF0000"/>
          <w:sz w:val="24"/>
          <w:szCs w:val="24"/>
        </w:rPr>
        <w:t>，</w:t>
      </w:r>
      <w:r>
        <w:rPr>
          <w:rFonts w:hint="eastAsia" w:ascii="宋体" w:hAnsi="宋体" w:cs="宋体"/>
          <w:b/>
          <w:color w:val="FF0000"/>
          <w:sz w:val="24"/>
          <w:szCs w:val="24"/>
          <w:lang w:eastAsia="zh-CN"/>
        </w:rPr>
        <w:t>对于经营业态有一定限制，如：</w:t>
      </w:r>
      <w:r>
        <w:rPr>
          <w:rFonts w:hint="eastAsia" w:ascii="宋体" w:hAnsi="宋体" w:eastAsia="宋体" w:cs="宋体"/>
          <w:b/>
          <w:color w:val="FF0000"/>
          <w:sz w:val="24"/>
          <w:szCs w:val="24"/>
        </w:rPr>
        <w:t>经营网吧、电子游戏厅、歌舞娱乐等行业。</w:t>
      </w:r>
      <w:r>
        <w:rPr>
          <w:rFonts w:hint="eastAsia" w:ascii="宋体" w:hAnsi="宋体" w:cs="宋体"/>
          <w:b/>
          <w:color w:val="FF0000"/>
          <w:sz w:val="24"/>
          <w:szCs w:val="24"/>
          <w:lang w:eastAsia="zh-CN"/>
        </w:rPr>
        <w:t>竞买人（承租人）</w:t>
      </w:r>
      <w:r>
        <w:rPr>
          <w:rFonts w:hint="eastAsia" w:ascii="宋体" w:hAnsi="宋体" w:eastAsia="宋体" w:cs="宋体"/>
          <w:b/>
          <w:color w:val="FF0000"/>
          <w:sz w:val="24"/>
          <w:szCs w:val="24"/>
        </w:rPr>
        <w:t>在参与竞</w:t>
      </w:r>
      <w:r>
        <w:rPr>
          <w:rFonts w:hint="eastAsia" w:ascii="宋体" w:hAnsi="宋体" w:cs="宋体"/>
          <w:b/>
          <w:color w:val="FF0000"/>
          <w:sz w:val="24"/>
          <w:szCs w:val="24"/>
          <w:lang w:eastAsia="zh-CN"/>
        </w:rPr>
        <w:t>拍</w:t>
      </w:r>
      <w:r>
        <w:rPr>
          <w:rFonts w:hint="eastAsia" w:ascii="宋体" w:hAnsi="宋体" w:eastAsia="宋体" w:cs="宋体"/>
          <w:b/>
          <w:color w:val="FF0000"/>
          <w:sz w:val="24"/>
          <w:szCs w:val="24"/>
        </w:rPr>
        <w:t>前，应自行向市场监管、消防、文广旅体等</w:t>
      </w:r>
      <w:r>
        <w:rPr>
          <w:rFonts w:hint="eastAsia" w:ascii="宋体" w:hAnsi="宋体" w:cs="宋体"/>
          <w:b/>
          <w:color w:val="FF0000"/>
          <w:sz w:val="24"/>
          <w:szCs w:val="24"/>
          <w:lang w:eastAsia="zh-CN"/>
        </w:rPr>
        <w:t>相关</w:t>
      </w:r>
      <w:r>
        <w:rPr>
          <w:rFonts w:hint="eastAsia" w:ascii="宋体" w:hAnsi="宋体" w:eastAsia="宋体" w:cs="宋体"/>
          <w:b/>
          <w:color w:val="FF0000"/>
          <w:sz w:val="24"/>
          <w:szCs w:val="24"/>
        </w:rPr>
        <w:t>部门及标的物属地</w:t>
      </w:r>
      <w:r>
        <w:rPr>
          <w:rFonts w:hint="eastAsia" w:ascii="宋体" w:hAnsi="宋体" w:cs="宋体"/>
          <w:b/>
          <w:color w:val="FF0000"/>
          <w:sz w:val="24"/>
          <w:szCs w:val="24"/>
          <w:lang w:eastAsia="zh-CN"/>
        </w:rPr>
        <w:t>管理</w:t>
      </w:r>
      <w:r>
        <w:rPr>
          <w:rFonts w:hint="eastAsia" w:ascii="宋体" w:hAnsi="宋体" w:eastAsia="宋体" w:cs="宋体"/>
          <w:b/>
          <w:color w:val="FF0000"/>
          <w:sz w:val="24"/>
          <w:szCs w:val="24"/>
        </w:rPr>
        <w:t>单位</w:t>
      </w:r>
      <w:r>
        <w:rPr>
          <w:rFonts w:hint="eastAsia" w:ascii="宋体" w:hAnsi="宋体" w:cs="宋体"/>
          <w:b/>
          <w:color w:val="FF0000"/>
          <w:sz w:val="24"/>
          <w:szCs w:val="24"/>
          <w:lang w:eastAsia="zh-CN"/>
        </w:rPr>
        <w:t>（迎周村），</w:t>
      </w:r>
      <w:r>
        <w:rPr>
          <w:rFonts w:hint="eastAsia" w:ascii="宋体" w:hAnsi="宋体" w:eastAsia="宋体" w:cs="宋体"/>
          <w:b/>
          <w:color w:val="FF0000"/>
          <w:sz w:val="24"/>
          <w:szCs w:val="24"/>
        </w:rPr>
        <w:t>核实经营范围的准入条件</w:t>
      </w:r>
      <w:r>
        <w:rPr>
          <w:rFonts w:hint="eastAsia" w:ascii="宋体" w:hAnsi="宋体" w:cs="宋体"/>
          <w:b/>
          <w:color w:val="FF0000"/>
          <w:sz w:val="24"/>
          <w:szCs w:val="24"/>
          <w:lang w:eastAsia="zh-CN"/>
        </w:rPr>
        <w:t>，谨慎竞拍。</w:t>
      </w:r>
    </w:p>
    <w:p w14:paraId="463A0966">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360" w:lineRule="auto"/>
        <w:ind w:right="0" w:firstLine="482" w:firstLineChars="200"/>
        <w:textAlignment w:val="auto"/>
        <w:rPr>
          <w:rFonts w:hint="eastAsia" w:ascii="宋体" w:hAnsi="宋体" w:eastAsia="宋体" w:cs="宋体"/>
          <w:b/>
          <w:color w:val="FF0000"/>
          <w:sz w:val="24"/>
          <w:szCs w:val="24"/>
        </w:rPr>
      </w:pPr>
      <w:r>
        <w:rPr>
          <w:rFonts w:hint="eastAsia" w:ascii="宋体" w:hAnsi="宋体" w:eastAsia="宋体" w:cs="宋体"/>
          <w:b/>
          <w:color w:val="FF0000"/>
          <w:sz w:val="24"/>
          <w:szCs w:val="24"/>
        </w:rPr>
        <w:t>如因上述用途限制导致无法办理营业执照或相关经营许可的，后果由</w:t>
      </w:r>
      <w:r>
        <w:rPr>
          <w:rFonts w:hint="eastAsia" w:ascii="宋体" w:hAnsi="宋体" w:cs="宋体"/>
          <w:b/>
          <w:color w:val="FF0000"/>
          <w:sz w:val="24"/>
          <w:szCs w:val="24"/>
          <w:lang w:eastAsia="zh-CN"/>
        </w:rPr>
        <w:t>竞买人（</w:t>
      </w:r>
      <w:r>
        <w:rPr>
          <w:rFonts w:hint="eastAsia" w:ascii="宋体" w:hAnsi="宋体" w:eastAsia="宋体" w:cs="宋体"/>
          <w:b/>
          <w:color w:val="FF0000"/>
          <w:sz w:val="24"/>
          <w:szCs w:val="24"/>
        </w:rPr>
        <w:t>承租人</w:t>
      </w:r>
      <w:r>
        <w:rPr>
          <w:rFonts w:hint="eastAsia" w:ascii="宋体" w:hAnsi="宋体" w:cs="宋体"/>
          <w:b/>
          <w:color w:val="FF0000"/>
          <w:sz w:val="24"/>
          <w:szCs w:val="24"/>
          <w:lang w:eastAsia="zh-CN"/>
        </w:rPr>
        <w:t>）</w:t>
      </w:r>
      <w:r>
        <w:rPr>
          <w:rFonts w:hint="eastAsia" w:ascii="宋体" w:hAnsi="宋体" w:eastAsia="宋体" w:cs="宋体"/>
          <w:b/>
          <w:color w:val="FF0000"/>
          <w:sz w:val="24"/>
          <w:szCs w:val="24"/>
        </w:rPr>
        <w:t>自行承担，出租方不承担任何违约责任。</w:t>
      </w:r>
    </w:p>
    <w:p w14:paraId="657BEF8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FF0000"/>
          <w:kern w:val="0"/>
          <w:sz w:val="24"/>
          <w:szCs w:val="24"/>
          <w:lang w:val="en-US" w:eastAsia="zh-CN" w:bidi="ar-SA"/>
        </w:rPr>
      </w:pPr>
      <w:r>
        <w:rPr>
          <w:rFonts w:hint="eastAsia" w:ascii="宋体" w:hAnsi="宋体" w:eastAsia="宋体" w:cs="宋体"/>
          <w:b/>
          <w:color w:val="FF0000"/>
          <w:kern w:val="0"/>
          <w:sz w:val="24"/>
          <w:szCs w:val="24"/>
          <w:lang w:val="en-US" w:eastAsia="zh-CN" w:bidi="ar-SA"/>
        </w:rPr>
        <w:t>本次标的部分处于</w:t>
      </w:r>
      <w:r>
        <w:rPr>
          <w:rFonts w:hint="eastAsia" w:ascii="宋体" w:hAnsi="宋体" w:cs="宋体"/>
          <w:b/>
          <w:color w:val="FF0000"/>
          <w:kern w:val="0"/>
          <w:sz w:val="24"/>
          <w:szCs w:val="24"/>
          <w:lang w:val="en-US" w:eastAsia="zh-CN" w:bidi="ar-SA"/>
        </w:rPr>
        <w:t>出租</w:t>
      </w:r>
      <w:r>
        <w:rPr>
          <w:rFonts w:hint="eastAsia" w:ascii="宋体" w:hAnsi="宋体" w:eastAsia="宋体" w:cs="宋体"/>
          <w:b/>
          <w:color w:val="FF0000"/>
          <w:kern w:val="0"/>
          <w:sz w:val="24"/>
          <w:szCs w:val="24"/>
          <w:lang w:val="en-US" w:eastAsia="zh-CN" w:bidi="ar-SA"/>
        </w:rPr>
        <w:t>状态，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w:t>
      </w:r>
    </w:p>
    <w:p w14:paraId="70980528">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67AE8665">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599A660">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7D850DC">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5D3BCEE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29</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6C5F44F9">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6</w:t>
      </w:r>
      <w:r>
        <w:rPr>
          <w:rFonts w:hint="eastAsia" w:ascii="宋体" w:hAnsi="宋体" w:eastAsia="宋体" w:cs="宋体"/>
          <w:color w:val="auto"/>
          <w:sz w:val="24"/>
        </w:rPr>
        <w:t>月</w:t>
      </w:r>
      <w:r>
        <w:rPr>
          <w:rFonts w:hint="eastAsia" w:ascii="宋体" w:hAnsi="宋体" w:cs="宋体"/>
          <w:color w:val="auto"/>
          <w:sz w:val="24"/>
          <w:lang w:val="en-US" w:eastAsia="zh-CN"/>
        </w:rPr>
        <w:t>29</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5DB57C9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29</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21789B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7DEABD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p>
    <w:p w14:paraId="6BBE3F0A">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2E407A0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70F6CF9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074FAF1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7546C331">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C6EFE8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A3D838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2EF288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DE72B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3FC17FE3">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2A8CD7F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3F9C488D">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cs="宋体"/>
          <w:spacing w:val="-4"/>
          <w:sz w:val="24"/>
          <w:szCs w:val="24"/>
          <w:u w:val="single"/>
          <w:lang w:eastAsia="zh-CN"/>
        </w:rPr>
        <w:t>宁波市镇海蛟川城镇建设发展有限公司</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账号：201000278060891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开户行：宁波镇海农村商业银行股份有限公司蛟川支行</w:t>
      </w:r>
      <w:r>
        <w:rPr>
          <w:rFonts w:hint="eastAsia" w:ascii="宋体" w:hAnsi="宋体" w:eastAsia="宋体" w:cs="宋体"/>
          <w:color w:val="auto"/>
          <w:spacing w:val="-4"/>
          <w:sz w:val="24"/>
          <w:szCs w:val="24"/>
        </w:rPr>
        <w:t>。</w:t>
      </w:r>
    </w:p>
    <w:p w14:paraId="79E08CEB">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E0B7EA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68B8D77B">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5E37340">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19BF1B2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07394BE4">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28722E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标的物移交前发生的水、电、物管费等费用超过500元，则上述全部费用由产权方承担，若标的物移交前发生的水、电、物管费等费用未超过500元（包括500元），则上述全部费用由买受人自行承担。</w:t>
      </w:r>
    </w:p>
    <w:p w14:paraId="2F12FD1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cs="宋体"/>
          <w:color w:val="auto"/>
          <w:sz w:val="24"/>
          <w:szCs w:val="24"/>
          <w:lang w:eastAsia="zh-CN"/>
        </w:rPr>
        <w:t>（承租人）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479F3772">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r>
        <w:rPr>
          <w:rFonts w:hint="eastAsia" w:ascii="宋体" w:hAnsi="宋体" w:cs="宋体"/>
          <w:b w:val="0"/>
          <w:bCs w:val="0"/>
          <w:color w:val="auto"/>
          <w:sz w:val="24"/>
          <w:szCs w:val="24"/>
          <w:shd w:val="clear" w:color="auto" w:fill="auto"/>
          <w:lang w:val="en-US" w:eastAsia="zh-CN"/>
        </w:rPr>
        <w:t>日期</w:t>
      </w:r>
    </w:p>
    <w:p w14:paraId="30BDD00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2D01289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88B9DD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474BEB4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A0E16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64017D3C">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0CF48D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2CEE930D">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666BE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26BE9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0B059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03C0F77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67242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5A9D595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A4746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42355B9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32E43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16D7EB7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1609811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r>
        <w:rPr>
          <w:rFonts w:hint="eastAsia" w:ascii="宋体" w:hAnsi="宋体" w:cs="宋体"/>
          <w:color w:val="auto"/>
          <w:sz w:val="24"/>
          <w:szCs w:val="24"/>
          <w:lang w:val="en-US" w:eastAsia="zh-CN"/>
        </w:rPr>
        <w:t xml:space="preserve">                            </w:t>
      </w:r>
    </w:p>
    <w:p w14:paraId="0C63B7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68F1731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5D0B50FC">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78CDFF8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日</w:t>
      </w:r>
    </w:p>
    <w:p w14:paraId="1C1AE5BD">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3A0B23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6C210A7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364738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2AC45D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18A74E4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4126F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B2C4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0FB9E3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672573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E013E7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0AC40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E65B94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7F2B05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C7B3EC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DCEC20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40F3E76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78A5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FDBD7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4005616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830A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31804CD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3D3F5D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6C7D8A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933D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4E9460A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3DD45E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1E780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BE3BFC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53517F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7913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C2AE0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61EB31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11D12C0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7539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740A5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715DB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9A8724C">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79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143E9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278E3E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697B0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A78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F7077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799E41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AAAE14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20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032D4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D5730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F64ACE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658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8F4F08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6451FB8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17121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19C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35CE9A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5B860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5A1C08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228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58A9D2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7AB17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64642B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9FCC5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CBC22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D9CB3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464F5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57D13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33F97A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D940AD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47118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9D163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AD79F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90CCD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39A81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1A426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37E707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4AFED9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7A3B8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3E83DC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565A07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32C442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16008E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7B13A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4A5FBA8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D0E1B7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C2DFCA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855AF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0CD17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4A1CA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B6B87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09778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7B7C3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63391B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029F2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7DDDF9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79CB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4FE6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100A69D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3615B7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74FCDD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AA0C0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DBF8A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04F4AE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03E95E6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208FCB8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4EB17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7346C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A556B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9C00A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DCA36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3468A6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756568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686EA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0CA9842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620FE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52CBF8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578404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433DF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27B4B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6A1F2E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D7477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A84CE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55F0B2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84B822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715C50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710CA0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14F2E7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FE203F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F566C8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8A285B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0473C7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1BB2FF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12150B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07638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A1B9C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5BE222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1EE1F9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B96C67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5ABA58A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C1CD3B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3B49DC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E5BC9E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47DA17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48C051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69E0E86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E0E287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72DF470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D02417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7A76FC4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0EA0260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1110B8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1F9454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7C29473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5079F2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5419FCD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44B536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6B755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A45814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5A3F625">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709B28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AF9B41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E4C412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F247303">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710BE7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CA78E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02ED8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838B4F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62C4CE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0421E8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13FA0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542416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D35F2D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89BE8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838063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69F0D8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22A16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C9DF6D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531D583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7812ACD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4DFE5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6033A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836EA20">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2298F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DC559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2F9D73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47918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CE4F0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29F42D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4513EA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0CA05C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18FEC89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223ADA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A7F077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59DA96B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B58A13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082D34C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DA5FD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2443D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48C121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D6C835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55EAE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5354BB9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2E5599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E39EC2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A09A0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F5BB5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579082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4170FF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1AEB2E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3F7B6F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243341E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48DAE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A86A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07FB2E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535B81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0C364069">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721B5F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00B56E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4FE4541C">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910DD">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37C7B7A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36E0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792EB60">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AA5059"/>
    <w:rsid w:val="00B2005C"/>
    <w:rsid w:val="00B5413C"/>
    <w:rsid w:val="03457F4D"/>
    <w:rsid w:val="04425FE9"/>
    <w:rsid w:val="04502AFF"/>
    <w:rsid w:val="05D92456"/>
    <w:rsid w:val="05E3310E"/>
    <w:rsid w:val="06755150"/>
    <w:rsid w:val="068E7E43"/>
    <w:rsid w:val="06C00C55"/>
    <w:rsid w:val="06FA2237"/>
    <w:rsid w:val="078C6EA6"/>
    <w:rsid w:val="08074BF6"/>
    <w:rsid w:val="08AF5C17"/>
    <w:rsid w:val="08B55A9A"/>
    <w:rsid w:val="09C474A0"/>
    <w:rsid w:val="0AAA4978"/>
    <w:rsid w:val="0B690F28"/>
    <w:rsid w:val="0B754EF6"/>
    <w:rsid w:val="0C2A1F61"/>
    <w:rsid w:val="0CA57A5D"/>
    <w:rsid w:val="0CD81459"/>
    <w:rsid w:val="0DF45AE2"/>
    <w:rsid w:val="0E344BF5"/>
    <w:rsid w:val="0E935BFE"/>
    <w:rsid w:val="0EF9493B"/>
    <w:rsid w:val="0F8C742C"/>
    <w:rsid w:val="0FA338C3"/>
    <w:rsid w:val="115347DA"/>
    <w:rsid w:val="11654CEF"/>
    <w:rsid w:val="12503FC7"/>
    <w:rsid w:val="14A70543"/>
    <w:rsid w:val="1519193F"/>
    <w:rsid w:val="152F1FA0"/>
    <w:rsid w:val="15EC3809"/>
    <w:rsid w:val="16571DC8"/>
    <w:rsid w:val="16580603"/>
    <w:rsid w:val="173122BD"/>
    <w:rsid w:val="18925339"/>
    <w:rsid w:val="193C34F7"/>
    <w:rsid w:val="198D1A5F"/>
    <w:rsid w:val="1A472092"/>
    <w:rsid w:val="1A473F02"/>
    <w:rsid w:val="1AE91E9E"/>
    <w:rsid w:val="1B733D66"/>
    <w:rsid w:val="1D24052A"/>
    <w:rsid w:val="1D266050"/>
    <w:rsid w:val="1DA43B34"/>
    <w:rsid w:val="1EC807A4"/>
    <w:rsid w:val="1F1A7B93"/>
    <w:rsid w:val="1F3C5FFF"/>
    <w:rsid w:val="1F955C68"/>
    <w:rsid w:val="1FF8273F"/>
    <w:rsid w:val="20301191"/>
    <w:rsid w:val="211A411E"/>
    <w:rsid w:val="21F52D2D"/>
    <w:rsid w:val="222A0391"/>
    <w:rsid w:val="224F60AB"/>
    <w:rsid w:val="22C2106C"/>
    <w:rsid w:val="23252CFF"/>
    <w:rsid w:val="245076FF"/>
    <w:rsid w:val="24BDCF9D"/>
    <w:rsid w:val="24D665AE"/>
    <w:rsid w:val="258037F0"/>
    <w:rsid w:val="26C8707D"/>
    <w:rsid w:val="26E92BE5"/>
    <w:rsid w:val="26EB3E67"/>
    <w:rsid w:val="27E134C6"/>
    <w:rsid w:val="28051B4F"/>
    <w:rsid w:val="28B44BC4"/>
    <w:rsid w:val="28E17D1E"/>
    <w:rsid w:val="2CF45EA7"/>
    <w:rsid w:val="2D76092E"/>
    <w:rsid w:val="2DFE26D1"/>
    <w:rsid w:val="2E250D4F"/>
    <w:rsid w:val="2EEB7445"/>
    <w:rsid w:val="3071362F"/>
    <w:rsid w:val="32E5541C"/>
    <w:rsid w:val="33BC75E5"/>
    <w:rsid w:val="375B2943"/>
    <w:rsid w:val="38AF7E90"/>
    <w:rsid w:val="398A12C3"/>
    <w:rsid w:val="3A231E3E"/>
    <w:rsid w:val="3AC32CD9"/>
    <w:rsid w:val="3C553767"/>
    <w:rsid w:val="3CB2036A"/>
    <w:rsid w:val="3CC13740"/>
    <w:rsid w:val="3CC82742"/>
    <w:rsid w:val="3DD877E7"/>
    <w:rsid w:val="3DF35B06"/>
    <w:rsid w:val="3E1A3557"/>
    <w:rsid w:val="3F550021"/>
    <w:rsid w:val="3F782104"/>
    <w:rsid w:val="3FDB0AC5"/>
    <w:rsid w:val="3FF16AF1"/>
    <w:rsid w:val="410E414B"/>
    <w:rsid w:val="41110157"/>
    <w:rsid w:val="411F5AAC"/>
    <w:rsid w:val="41DF4BEC"/>
    <w:rsid w:val="44B352D2"/>
    <w:rsid w:val="44D634D4"/>
    <w:rsid w:val="461E0BEE"/>
    <w:rsid w:val="46514097"/>
    <w:rsid w:val="476CF251"/>
    <w:rsid w:val="484C07B1"/>
    <w:rsid w:val="485409DD"/>
    <w:rsid w:val="48C651E6"/>
    <w:rsid w:val="491A5B52"/>
    <w:rsid w:val="4A196FDF"/>
    <w:rsid w:val="4A69389D"/>
    <w:rsid w:val="4C8A0B18"/>
    <w:rsid w:val="4E4C1D55"/>
    <w:rsid w:val="4E4D5343"/>
    <w:rsid w:val="4F132029"/>
    <w:rsid w:val="504D156B"/>
    <w:rsid w:val="50BF5CCD"/>
    <w:rsid w:val="51064B72"/>
    <w:rsid w:val="520115EE"/>
    <w:rsid w:val="524229D0"/>
    <w:rsid w:val="52A5743C"/>
    <w:rsid w:val="52D3730D"/>
    <w:rsid w:val="533E387A"/>
    <w:rsid w:val="534357BA"/>
    <w:rsid w:val="543A0E78"/>
    <w:rsid w:val="55730162"/>
    <w:rsid w:val="57087F99"/>
    <w:rsid w:val="588767A0"/>
    <w:rsid w:val="58EB2D68"/>
    <w:rsid w:val="5A566F12"/>
    <w:rsid w:val="5AE7BE49"/>
    <w:rsid w:val="5B7756EE"/>
    <w:rsid w:val="5CAC6A04"/>
    <w:rsid w:val="5D4F6922"/>
    <w:rsid w:val="5DAA4926"/>
    <w:rsid w:val="5DBB3B96"/>
    <w:rsid w:val="5DF300E3"/>
    <w:rsid w:val="5EC864E3"/>
    <w:rsid w:val="5F0C4CD0"/>
    <w:rsid w:val="5FDE7C96"/>
    <w:rsid w:val="60DD0FD5"/>
    <w:rsid w:val="61694C62"/>
    <w:rsid w:val="652C579B"/>
    <w:rsid w:val="65A11057"/>
    <w:rsid w:val="668A66FA"/>
    <w:rsid w:val="684929CC"/>
    <w:rsid w:val="68822739"/>
    <w:rsid w:val="693B781C"/>
    <w:rsid w:val="6ABA73A5"/>
    <w:rsid w:val="6B76151E"/>
    <w:rsid w:val="6BEF5C38"/>
    <w:rsid w:val="6C73385B"/>
    <w:rsid w:val="6CF03552"/>
    <w:rsid w:val="6CFC68D7"/>
    <w:rsid w:val="6D34343E"/>
    <w:rsid w:val="6DF979B8"/>
    <w:rsid w:val="6E0B0643"/>
    <w:rsid w:val="6E2A4841"/>
    <w:rsid w:val="6E3851B0"/>
    <w:rsid w:val="6F0F5F11"/>
    <w:rsid w:val="6F141779"/>
    <w:rsid w:val="706742D4"/>
    <w:rsid w:val="70C25205"/>
    <w:rsid w:val="70D867D7"/>
    <w:rsid w:val="722F459F"/>
    <w:rsid w:val="730668DC"/>
    <w:rsid w:val="73495D8D"/>
    <w:rsid w:val="75297601"/>
    <w:rsid w:val="755B4AEE"/>
    <w:rsid w:val="75796F4B"/>
    <w:rsid w:val="76BBE103"/>
    <w:rsid w:val="76E622F1"/>
    <w:rsid w:val="78230C03"/>
    <w:rsid w:val="792672BF"/>
    <w:rsid w:val="79A100AE"/>
    <w:rsid w:val="79DB010B"/>
    <w:rsid w:val="7A3A226C"/>
    <w:rsid w:val="7B79F807"/>
    <w:rsid w:val="7BD14EC5"/>
    <w:rsid w:val="7BD70D3B"/>
    <w:rsid w:val="7BFEEBF5"/>
    <w:rsid w:val="7C6F710D"/>
    <w:rsid w:val="7C9C4B5C"/>
    <w:rsid w:val="7CC40631"/>
    <w:rsid w:val="7D4F6073"/>
    <w:rsid w:val="7F2B0C52"/>
    <w:rsid w:val="7FFECF60"/>
    <w:rsid w:val="DAD734E1"/>
    <w:rsid w:val="DF5FCF37"/>
    <w:rsid w:val="E7FC6013"/>
    <w:rsid w:val="F7FF36D8"/>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12189</Words>
  <Characters>12970</Characters>
  <Lines>0</Lines>
  <Paragraphs>0</Paragraphs>
  <TotalTime>0</TotalTime>
  <ScaleCrop>false</ScaleCrop>
  <LinksUpToDate>false</LinksUpToDate>
  <CharactersWithSpaces>14249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2023-12-14T00:46:00Z</dcterms:created>
  <dc:creator>刘烨</dc:creator>
  <cp:lastModifiedBy>大象滑滑梯</cp:lastModifiedBy>
  <dcterms:modified xsi:type="dcterms:W3CDTF">2026-06-12T06:59:33Z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